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u w:val="single"/>
        </w:rPr>
      </w:pPr>
      <w:r>
        <w:tab/>
      </w:r>
      <w:r>
        <w:rPr>
          <w:b/>
          <w:bCs/>
          <w:u w:val="single"/>
        </w:rPr>
        <w:t>MOTION IN ARREST OF JUDGMENT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IN ARREST OF JUDGMENT</w:instrText>
      </w:r>
      <w:r>
        <w:rPr>
          <w:u w:val="single"/>
        </w:rPr>
        <w:fldChar w:fldCharType="end"/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</w:t>
      </w:r>
      <w:bookmarkStart w:id="0" w:name="_GoBack"/>
      <w:bookmarkEnd w:id="0"/>
      <w:r>
        <w:t>34 of the West Virginia Rules of Criminal Procedure to arrest the judgment in the matter herein.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In support of this motion, the Defendant asserts that an arrest of judgment is appropriate because [ </w:t>
      </w:r>
      <w:r>
        <w:rPr>
          <w:i/>
          <w:iCs/>
        </w:rPr>
        <w:t xml:space="preserve">state grounds for arrest of judgment, including insufficiency of indictment, jurisdictional defects, or other pertinent </w:t>
      </w:r>
      <w:proofErr w:type="gramStart"/>
      <w:r>
        <w:rPr>
          <w:i/>
          <w:iCs/>
        </w:rPr>
        <w:t>grounds</w:t>
      </w:r>
      <w:r>
        <w:t xml:space="preserve"> ]</w:t>
      </w:r>
      <w:proofErr w:type="gramEnd"/>
      <w:r>
        <w:t>.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>Therefore, the Defendant requests that the Honorable Court grant the relief sought in this motion and arrest the judgment in the matter herein.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>By Counsel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1733F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541F09" w:rsidRDefault="00541F09" w:rsidP="00541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Counsel for Defendant </w:t>
      </w:r>
    </w:p>
    <w:p w:rsidR="005009A7" w:rsidRDefault="00541F09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09"/>
    <w:rsid w:val="000839E5"/>
    <w:rsid w:val="00087A52"/>
    <w:rsid w:val="00541F09"/>
    <w:rsid w:val="00656BE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82AA8-0B91-4FD1-A2A5-94736D3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F0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2017-11-21T15:31:00Z</dcterms:created>
  <dcterms:modified xsi:type="dcterms:W3CDTF">2017-11-21T15:31:00Z</dcterms:modified>
</cp:coreProperties>
</file>