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961DF7"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45EEABAC" w14:textId="162EF0A3" w:rsidR="00554A7A" w:rsidRDefault="001B4A23" w:rsidP="00C05E48">
      <w:pPr>
        <w:widowControl/>
        <w:spacing w:line="480" w:lineRule="auto"/>
      </w:pPr>
      <w:r>
        <w:tab/>
      </w:r>
      <w:r w:rsidR="00961DF7" w:rsidRPr="00961DF7">
        <w:t>The Court instructs the jury that premeditation and deliberation can precede the formation of the intent to kill, in so far as the intent to kill is often the consequence of the prior calculation.</w:t>
      </w:r>
    </w:p>
    <w:p w14:paraId="21D25CC2" w14:textId="1E3D3327" w:rsidR="00961DF7" w:rsidRDefault="00961DF7" w:rsidP="00C05E48">
      <w:pPr>
        <w:widowControl/>
        <w:spacing w:line="480" w:lineRule="auto"/>
      </w:pPr>
    </w:p>
    <w:p w14:paraId="2CE02D3F" w14:textId="77777777" w:rsidR="00961DF7" w:rsidRDefault="00961DF7" w:rsidP="00C05E48">
      <w:pPr>
        <w:widowControl/>
        <w:spacing w:line="480" w:lineRule="auto"/>
      </w:pPr>
      <w:bookmarkStart w:id="0" w:name="_GoBack"/>
      <w:bookmarkEnd w:id="0"/>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44E31"/>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1DF7"/>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EC13D-5CD0-41AB-8BC5-075193384425}"/>
</file>

<file path=customXml/itemProps2.xml><?xml version="1.0" encoding="utf-8"?>
<ds:datastoreItem xmlns:ds="http://schemas.openxmlformats.org/officeDocument/2006/customXml" ds:itemID="{78394EAF-C235-4DA0-ADF4-6D291E0D168B}"/>
</file>

<file path=customXml/itemProps3.xml><?xml version="1.0" encoding="utf-8"?>
<ds:datastoreItem xmlns:ds="http://schemas.openxmlformats.org/officeDocument/2006/customXml" ds:itemID="{B961865A-145A-4972-9580-73EF71846147}"/>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2018-07-11T13:54:00Z</dcterms:created>
  <dcterms:modified xsi:type="dcterms:W3CDTF">2018-07-11T13:54:00Z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19200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