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C33094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2ABDC94A" w:rsidR="00554A7A" w:rsidRDefault="001B4A23" w:rsidP="00C05E48">
      <w:pPr>
        <w:widowControl/>
        <w:spacing w:line="480" w:lineRule="auto"/>
      </w:pPr>
      <w:r>
        <w:tab/>
      </w:r>
      <w:r w:rsidR="00C33094" w:rsidRPr="00C33094">
        <w:t xml:space="preserve">These instructions speak with regards to the defendant’s mental state as directed towards the decedent. This is merely shorthand. The doctrine of transferred intent provides that where a person intends to kill or injure someone, but </w:t>
      </w:r>
      <w:proofErr w:type="gramStart"/>
      <w:r w:rsidR="00C33094" w:rsidRPr="00C33094">
        <w:t>in the course of</w:t>
      </w:r>
      <w:proofErr w:type="gramEnd"/>
      <w:r w:rsidR="00C33094" w:rsidRPr="00C33094">
        <w:t xml:space="preserve"> attempting to commit the act injures or kills a third party, the defendant’s criminal intent will be transferred to the third party.</w:t>
      </w:r>
    </w:p>
    <w:p w14:paraId="4DDFE533" w14:textId="77777777" w:rsidR="00C33094" w:rsidRDefault="00C33094" w:rsidP="00C05E48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33094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D945-A17A-4E19-A55B-ED317386B3AD}"/>
</file>

<file path=customXml/itemProps2.xml><?xml version="1.0" encoding="utf-8"?>
<ds:datastoreItem xmlns:ds="http://schemas.openxmlformats.org/officeDocument/2006/customXml" ds:itemID="{2097FD3F-9B08-4E67-8CC4-41FE9628EF01}"/>
</file>

<file path=customXml/itemProps3.xml><?xml version="1.0" encoding="utf-8"?>
<ds:datastoreItem xmlns:ds="http://schemas.openxmlformats.org/officeDocument/2006/customXml" ds:itemID="{56FE24EF-2D61-42A9-8AEA-1E49F8456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2018-07-11T14:51:00Z</dcterms:created>
  <dcterms:modified xsi:type="dcterms:W3CDTF">2018-07-11T14:51:00Z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18400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