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B901B" w14:textId="77777777" w:rsidR="00E444D8" w:rsidRDefault="00E444D8" w:rsidP="00D97D03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6BD4333F" w14:textId="77777777" w:rsidR="00E444D8" w:rsidRDefault="00E444D8" w:rsidP="00D97D03">
      <w:pPr>
        <w:widowControl/>
      </w:pPr>
    </w:p>
    <w:p w14:paraId="46BEF71D" w14:textId="77777777" w:rsidR="00E444D8" w:rsidRDefault="00E444D8" w:rsidP="00D97D03">
      <w:pPr>
        <w:widowControl/>
      </w:pPr>
    </w:p>
    <w:p w14:paraId="271AFDDC" w14:textId="77777777" w:rsidR="00E444D8" w:rsidRDefault="00E444D8" w:rsidP="00D97D03">
      <w:pPr>
        <w:widowControl/>
      </w:pPr>
      <w:r>
        <w:t>STATE OF WEST VIRGINIA,</w:t>
      </w:r>
    </w:p>
    <w:p w14:paraId="5189B118" w14:textId="77777777" w:rsidR="00E444D8" w:rsidRDefault="00E444D8" w:rsidP="00D97D03">
      <w:pPr>
        <w:widowControl/>
      </w:pPr>
    </w:p>
    <w:p w14:paraId="2A5BCD32" w14:textId="77777777" w:rsidR="00E444D8" w:rsidRDefault="00E444D8" w:rsidP="00D97D03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1EDBCB16" w14:textId="77777777" w:rsidR="00E444D8" w:rsidRDefault="00E444D8" w:rsidP="00D97D03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710ACF40" w14:textId="77777777" w:rsidR="00E444D8" w:rsidRDefault="00E444D8" w:rsidP="00D97D03">
      <w:pPr>
        <w:widowControl/>
      </w:pPr>
    </w:p>
    <w:p w14:paraId="46BDB64C" w14:textId="77777777" w:rsidR="00E444D8" w:rsidRDefault="00E444D8" w:rsidP="00D97D03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770758BF" w14:textId="77777777" w:rsidR="00E444D8" w:rsidRDefault="00E444D8" w:rsidP="00D97D03">
      <w:pPr>
        <w:widowControl/>
      </w:pPr>
    </w:p>
    <w:p w14:paraId="6FE4A11A" w14:textId="77777777" w:rsidR="00E444D8" w:rsidRDefault="00E444D8" w:rsidP="00D97D03">
      <w:pPr>
        <w:widowControl/>
      </w:pPr>
      <w:r>
        <w:tab/>
      </w:r>
      <w:r>
        <w:tab/>
        <w:t>Defendant.</w:t>
      </w:r>
    </w:p>
    <w:p w14:paraId="31055D41" w14:textId="77777777" w:rsidR="00170AB5" w:rsidRDefault="0027564F" w:rsidP="00D97D03">
      <w:pPr>
        <w:widowControl/>
      </w:pPr>
    </w:p>
    <w:p w14:paraId="35D7555D" w14:textId="77777777" w:rsidR="00E444D8" w:rsidRDefault="00E444D8" w:rsidP="00D97D03">
      <w:pPr>
        <w:widowControl/>
      </w:pPr>
    </w:p>
    <w:p w14:paraId="20F2A6F4" w14:textId="77777777" w:rsidR="00920117" w:rsidRDefault="00554A7A" w:rsidP="00D97D03">
      <w:pPr>
        <w:widowControl/>
        <w:spacing w:line="480" w:lineRule="auto"/>
        <w:jc w:val="center"/>
      </w:pPr>
      <w:r>
        <w:t>DEFENDANT’S INSTRUCTION NO. ____</w:t>
      </w:r>
    </w:p>
    <w:p w14:paraId="23E08ADF" w14:textId="77777777" w:rsidR="00BD1D26" w:rsidRDefault="001B4A23" w:rsidP="00BD1D26">
      <w:pPr>
        <w:widowControl/>
        <w:spacing w:line="480" w:lineRule="auto"/>
      </w:pPr>
      <w:r>
        <w:tab/>
      </w:r>
      <w:r w:rsidR="00BD1D26">
        <w:t>Count __ of the indictment charges the defendant with Distribution and Display to a Minor of Obscene Matter.</w:t>
      </w:r>
    </w:p>
    <w:p w14:paraId="783C608E" w14:textId="324DED28" w:rsidR="00BD1D26" w:rsidRDefault="00BD1D26" w:rsidP="00BD1D26">
      <w:pPr>
        <w:widowControl/>
        <w:spacing w:line="480" w:lineRule="auto"/>
      </w:pPr>
      <w:r>
        <w:tab/>
      </w:r>
      <w:r>
        <w:t xml:space="preserve">Distribution and Display to a Minor of Obscene Matter occurs when an adult, knowing the character of the material, knowingly and intentionally distributes, offers to distribute, or displays obscene material to a minor. </w:t>
      </w:r>
    </w:p>
    <w:p w14:paraId="3F5115BB" w14:textId="728FF75D" w:rsidR="00BD1D26" w:rsidRDefault="00BD1D26" w:rsidP="00BD1D26">
      <w:pPr>
        <w:widowControl/>
        <w:spacing w:line="480" w:lineRule="auto"/>
      </w:pPr>
      <w:r>
        <w:tab/>
      </w:r>
      <w:r>
        <w:t>For purposes of this Count, “display” means to show, exhibit or expose material, in a manner visible to the general or invited public, including minors</w:t>
      </w:r>
      <w:proofErr w:type="gramStart"/>
      <w:r>
        <w:t xml:space="preserve">.  </w:t>
      </w:r>
      <w:proofErr w:type="gramEnd"/>
    </w:p>
    <w:p w14:paraId="24BB8160" w14:textId="181190D7" w:rsidR="00BD1D26" w:rsidRDefault="00BD1D26" w:rsidP="00BD1D26">
      <w:pPr>
        <w:widowControl/>
        <w:spacing w:line="480" w:lineRule="auto"/>
      </w:pPr>
      <w:r>
        <w:tab/>
      </w:r>
      <w:r>
        <w:t xml:space="preserve">For purposes of this Count, “distribute” means to transfer possession, transport, transmit, sell or rent, with or without </w:t>
      </w:r>
      <w:proofErr w:type="gramStart"/>
      <w:r>
        <w:t>some kind of payment</w:t>
      </w:r>
      <w:proofErr w:type="gramEnd"/>
      <w:r>
        <w:t xml:space="preserve">. </w:t>
      </w:r>
    </w:p>
    <w:p w14:paraId="485EFC91" w14:textId="74EE4ADD" w:rsidR="00BD1D26" w:rsidRDefault="00BD1D26" w:rsidP="00BD1D26">
      <w:pPr>
        <w:widowControl/>
        <w:spacing w:line="480" w:lineRule="auto"/>
      </w:pPr>
      <w:r>
        <w:tab/>
      </w:r>
      <w:r>
        <w:t>For purposes of this charge, obscene matter means matter that:</w:t>
      </w:r>
    </w:p>
    <w:p w14:paraId="7F0C2575" w14:textId="77777777" w:rsidR="00BD1D26" w:rsidRDefault="00BD1D26" w:rsidP="00BD1D26">
      <w:pPr>
        <w:widowControl/>
        <w:spacing w:line="480" w:lineRule="auto"/>
        <w:ind w:left="1440" w:hanging="720"/>
      </w:pPr>
      <w:r>
        <w:t xml:space="preserve">(1) </w:t>
      </w:r>
      <w:r>
        <w:tab/>
        <w:t xml:space="preserve">An average person, applying community standards, would find, </w:t>
      </w:r>
      <w:proofErr w:type="gramStart"/>
      <w:r>
        <w:t>taken as a whole, appeals</w:t>
      </w:r>
      <w:proofErr w:type="gramEnd"/>
      <w:r>
        <w:t xml:space="preserve"> to the prurient interest, is intended to appeal to the prurient interest, or is pandered to a prurient interest; or</w:t>
      </w:r>
    </w:p>
    <w:p w14:paraId="1005F118" w14:textId="77777777" w:rsidR="00BD1D26" w:rsidRDefault="00BD1D26" w:rsidP="00BD1D26">
      <w:pPr>
        <w:widowControl/>
        <w:spacing w:line="480" w:lineRule="auto"/>
        <w:ind w:left="1440" w:hanging="720"/>
      </w:pPr>
      <w:r>
        <w:t xml:space="preserve">(2) </w:t>
      </w:r>
      <w:r>
        <w:tab/>
        <w:t>An average person, applying community standards, would find depicts or describes, in a patently offensive way, sexually explicit conduct; and</w:t>
      </w:r>
    </w:p>
    <w:p w14:paraId="4EFED54C" w14:textId="77777777" w:rsidR="00BD1D26" w:rsidRDefault="00BD1D26" w:rsidP="00BD1D26">
      <w:pPr>
        <w:widowControl/>
        <w:spacing w:line="480" w:lineRule="auto"/>
        <w:ind w:left="1440" w:hanging="720"/>
      </w:pPr>
      <w:r>
        <w:lastRenderedPageBreak/>
        <w:t xml:space="preserve">(3) </w:t>
      </w:r>
      <w:r>
        <w:tab/>
        <w:t xml:space="preserve">A reasonable person would find, </w:t>
      </w:r>
      <w:proofErr w:type="gramStart"/>
      <w:r>
        <w:t>taken as a whole, lacks</w:t>
      </w:r>
      <w:proofErr w:type="gramEnd"/>
      <w:r>
        <w:t xml:space="preserve"> serious literary, artistic, political or scientific value. </w:t>
      </w:r>
    </w:p>
    <w:p w14:paraId="2149AB90" w14:textId="74BAFA6A" w:rsidR="00BD1D26" w:rsidRDefault="00BD1D26" w:rsidP="00BD1D26">
      <w:pPr>
        <w:widowControl/>
        <w:spacing w:line="480" w:lineRule="auto"/>
      </w:pPr>
      <w:r>
        <w:tab/>
      </w:r>
      <w:r>
        <w:t xml:space="preserve">“Prurient” means characterized by, exhibiting, or arousing inappropriate, inordinate, or unusual sexual desire; or having or showing too much interest in sex. </w:t>
      </w:r>
    </w:p>
    <w:p w14:paraId="22477CD2" w14:textId="4425B7B5" w:rsidR="00BD1D26" w:rsidRDefault="00BD1D26" w:rsidP="00BD1D26">
      <w:pPr>
        <w:widowControl/>
        <w:spacing w:line="480" w:lineRule="auto"/>
      </w:pPr>
      <w:r>
        <w:tab/>
      </w:r>
      <w:r>
        <w:t>Therefore, for you to find the defendant guilty, the State must overcome the presumption of innocence and prove beyond a reasonable doubt that:</w:t>
      </w:r>
    </w:p>
    <w:p w14:paraId="2B8C3F09" w14:textId="77777777" w:rsidR="00BD1D26" w:rsidRDefault="00BD1D26" w:rsidP="00BD1D26">
      <w:pPr>
        <w:widowControl/>
        <w:spacing w:line="480" w:lineRule="auto"/>
        <w:ind w:left="1440" w:hanging="720"/>
      </w:pPr>
      <w:r>
        <w:t>1.</w:t>
      </w:r>
      <w:r>
        <w:tab/>
        <w:t>on or about the __ day of [insert month], [insert year],</w:t>
      </w:r>
    </w:p>
    <w:p w14:paraId="3E5AFF55" w14:textId="77777777" w:rsidR="00BD1D26" w:rsidRDefault="00BD1D26" w:rsidP="00BD1D26">
      <w:pPr>
        <w:widowControl/>
        <w:spacing w:line="480" w:lineRule="auto"/>
        <w:ind w:left="1440" w:hanging="720"/>
      </w:pPr>
      <w:r>
        <w:t>2.</w:t>
      </w:r>
      <w:r>
        <w:tab/>
        <w:t>in [insert county] County, West Virginia,</w:t>
      </w:r>
    </w:p>
    <w:p w14:paraId="44022929" w14:textId="77777777" w:rsidR="00BD1D26" w:rsidRDefault="00BD1D26" w:rsidP="00BD1D26">
      <w:pPr>
        <w:widowControl/>
        <w:spacing w:line="480" w:lineRule="auto"/>
        <w:ind w:left="1440" w:hanging="720"/>
      </w:pPr>
      <w:r>
        <w:t>3.</w:t>
      </w:r>
      <w:r>
        <w:tab/>
        <w:t>the defendant</w:t>
      </w:r>
    </w:p>
    <w:p w14:paraId="21F1D619" w14:textId="77777777" w:rsidR="00BD1D26" w:rsidRDefault="00BD1D26" w:rsidP="00BD1D26">
      <w:pPr>
        <w:widowControl/>
        <w:spacing w:line="480" w:lineRule="auto"/>
        <w:ind w:left="1440" w:hanging="720"/>
      </w:pPr>
      <w:r>
        <w:t>4.</w:t>
      </w:r>
      <w:r>
        <w:tab/>
        <w:t>knowingly and intentionally,</w:t>
      </w:r>
    </w:p>
    <w:p w14:paraId="55AF4C81" w14:textId="77777777" w:rsidR="00BD1D26" w:rsidRDefault="00BD1D26" w:rsidP="00BD1D26">
      <w:pPr>
        <w:widowControl/>
        <w:spacing w:line="480" w:lineRule="auto"/>
        <w:ind w:left="1440" w:hanging="720"/>
      </w:pPr>
      <w:r>
        <w:t>5.</w:t>
      </w:r>
      <w:r>
        <w:tab/>
        <w:t>distributed, offered to distribute, or displayed obscene material</w:t>
      </w:r>
    </w:p>
    <w:p w14:paraId="4116DF62" w14:textId="77777777" w:rsidR="00BD1D26" w:rsidRDefault="00BD1D26" w:rsidP="00BD1D26">
      <w:pPr>
        <w:widowControl/>
        <w:spacing w:line="480" w:lineRule="auto"/>
        <w:ind w:left="1440" w:hanging="720"/>
      </w:pPr>
      <w:r>
        <w:t>6.</w:t>
      </w:r>
      <w:r>
        <w:tab/>
        <w:t xml:space="preserve">to a minor, that is, a person younger than eighteen, </w:t>
      </w:r>
    </w:p>
    <w:p w14:paraId="2584895F" w14:textId="77777777" w:rsidR="00BD1D26" w:rsidRDefault="00BD1D26" w:rsidP="00BD1D26">
      <w:pPr>
        <w:widowControl/>
        <w:spacing w:line="480" w:lineRule="auto"/>
        <w:ind w:left="1440" w:hanging="720"/>
      </w:pPr>
      <w:r>
        <w:t>7.</w:t>
      </w:r>
      <w:r>
        <w:tab/>
        <w:t>and the defendant knew the obscene character of the material.</w:t>
      </w:r>
    </w:p>
    <w:p w14:paraId="6896C206" w14:textId="760576B0" w:rsidR="00BD1D26" w:rsidRDefault="00BD1D26" w:rsidP="00BD1D26">
      <w:pPr>
        <w:widowControl/>
        <w:spacing w:line="480" w:lineRule="auto"/>
      </w:pPr>
      <w:r>
        <w:tab/>
      </w:r>
      <w:r>
        <w:t>{[Insert, if applicable]: The defendant has asserted an affirmative defense, to the effect that the obscene material was [concealed from minors’ view] [displayed after the defendant took reasonable steps to ascertain the age of the minor]. The defendant must show that:</w:t>
      </w:r>
    </w:p>
    <w:p w14:paraId="7A9E4913" w14:textId="77777777" w:rsidR="00BD1D26" w:rsidRDefault="00BD1D26" w:rsidP="00BD1D26">
      <w:pPr>
        <w:widowControl/>
        <w:spacing w:line="480" w:lineRule="auto"/>
        <w:ind w:left="1440" w:hanging="720"/>
      </w:pPr>
      <w:r>
        <w:t>1.</w:t>
      </w:r>
      <w:r>
        <w:tab/>
        <w:t xml:space="preserve">The obscene material was displayed in an area from which minors are physically excluded and when the material is displayed there, it cannot be viewed by a minor from </w:t>
      </w:r>
      <w:proofErr w:type="spellStart"/>
      <w:r>
        <w:t>nonrestricted</w:t>
      </w:r>
      <w:proofErr w:type="spellEnd"/>
      <w:r>
        <w:t xml:space="preserve"> areas; or</w:t>
      </w:r>
    </w:p>
    <w:p w14:paraId="2566697F" w14:textId="77777777" w:rsidR="00BD1D26" w:rsidRDefault="00BD1D26" w:rsidP="00BD1D26">
      <w:pPr>
        <w:widowControl/>
        <w:spacing w:line="480" w:lineRule="auto"/>
        <w:ind w:left="1440" w:hanging="720"/>
      </w:pPr>
      <w:r>
        <w:t>2.</w:t>
      </w:r>
      <w:r>
        <w:tab/>
        <w:t>The obscene material was covered by a device, commonly known as a “blinder rack,” such that the lower two thirds of the cover of the material is not exposed to view; or</w:t>
      </w:r>
    </w:p>
    <w:p w14:paraId="64E9EFE5" w14:textId="77777777" w:rsidR="00BD1D26" w:rsidRDefault="00BD1D26" w:rsidP="00BD1D26">
      <w:pPr>
        <w:widowControl/>
        <w:spacing w:line="480" w:lineRule="auto"/>
        <w:ind w:left="1440" w:hanging="720"/>
      </w:pPr>
      <w:r>
        <w:lastRenderedPageBreak/>
        <w:t>3.</w:t>
      </w:r>
      <w:r>
        <w:tab/>
        <w:t>The obscene material was enclosed in an opaque wrapper such that the lower two thirds of the cover of the material was not exposed to view, or;</w:t>
      </w:r>
    </w:p>
    <w:p w14:paraId="7DA51E52" w14:textId="77777777" w:rsidR="00BD1D26" w:rsidRDefault="00BD1D26" w:rsidP="00BD1D26">
      <w:pPr>
        <w:widowControl/>
        <w:spacing w:line="480" w:lineRule="auto"/>
        <w:ind w:left="1440" w:hanging="720"/>
      </w:pPr>
      <w:r>
        <w:t>4.</w:t>
      </w:r>
      <w:r>
        <w:tab/>
        <w:t>The obscene material was displayed or distributed after taking reasonable steps to receive, obtain or check an adult identification card, such as a driver’s license or other technically or reasonably feasible means of verification of age.</w:t>
      </w:r>
    </w:p>
    <w:p w14:paraId="428932D7" w14:textId="4AA73945" w:rsidR="00BD1D26" w:rsidRDefault="00BD1D26" w:rsidP="00BD1D26">
      <w:pPr>
        <w:widowControl/>
        <w:spacing w:line="480" w:lineRule="auto"/>
      </w:pPr>
      <w:r>
        <w:tab/>
      </w:r>
      <w:r>
        <w:t>If the evidence on these matters is enough to raise a reasonable doubt in your mind, then, in addition to proving the elements of the offense, the State must prove beyond a reasonable doubt that the elements of the affirmative defense are untrue. If the State has failed to prove that the defense is untrue beyond a reasonable doubt, your verdict must be not guilty.}</w:t>
      </w:r>
    </w:p>
    <w:p w14:paraId="2E3A5FDC" w14:textId="0C4CE54F" w:rsidR="00554A7A" w:rsidRDefault="00BD1D26" w:rsidP="00BD1D26">
      <w:pPr>
        <w:widowControl/>
        <w:spacing w:line="480" w:lineRule="auto"/>
      </w:pPr>
      <w:bookmarkStart w:id="0" w:name="_GoBack"/>
      <w:bookmarkEnd w:id="0"/>
      <w:r>
        <w:tab/>
      </w:r>
      <w:r>
        <w:t>If, after impartially considering, weighing and comparing all the evidence (that of both the State and the defendant), you are convinced beyond a reasonable doubt of the truth of the charge as to each of these elements, you may find the defendant guilty as charged in Count __ of the indictment. If you have a reasonable doubt of the truth of the charge as to any one or more of these elements, you shall find the defendant not guilty.</w:t>
      </w:r>
    </w:p>
    <w:p w14:paraId="107C36CB" w14:textId="77777777" w:rsidR="00554A7A" w:rsidRDefault="00554A7A" w:rsidP="00D97D03">
      <w:pPr>
        <w:widowControl/>
        <w:spacing w:line="480" w:lineRule="auto"/>
      </w:pPr>
      <w:proofErr w:type="gramStart"/>
      <w:r>
        <w:t>GIVEN:_</w:t>
      </w:r>
      <w:proofErr w:type="gramEnd"/>
      <w:r>
        <w:t>_______________</w:t>
      </w:r>
    </w:p>
    <w:p w14:paraId="084EC23F" w14:textId="77777777" w:rsidR="00554A7A" w:rsidRDefault="00554A7A" w:rsidP="00D97D03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</w:p>
    <w:p w14:paraId="507E9CB7" w14:textId="77777777" w:rsidR="00554A7A" w:rsidRDefault="00554A7A" w:rsidP="00D97D03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44EEA4E" w14:textId="77777777" w:rsidR="00554A7A" w:rsidRDefault="00554A7A" w:rsidP="00D97D03">
      <w:pPr>
        <w:widowControl/>
        <w:spacing w:line="480" w:lineRule="auto"/>
      </w:pPr>
    </w:p>
    <w:p w14:paraId="027F734E" w14:textId="77777777" w:rsidR="00554A7A" w:rsidRDefault="00554A7A" w:rsidP="00D97D03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6E7716F4" w14:textId="77777777" w:rsidR="00554A7A" w:rsidRDefault="00554A7A" w:rsidP="00D97D03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69B88181" w14:textId="77777777" w:rsidR="00554A7A" w:rsidRDefault="00554A7A" w:rsidP="00637588">
      <w:pPr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263CC"/>
    <w:rsid w:val="00031EC7"/>
    <w:rsid w:val="000A7325"/>
    <w:rsid w:val="001B3431"/>
    <w:rsid w:val="001B4A23"/>
    <w:rsid w:val="001B716F"/>
    <w:rsid w:val="001E1024"/>
    <w:rsid w:val="00282412"/>
    <w:rsid w:val="002E2A4D"/>
    <w:rsid w:val="002F6E64"/>
    <w:rsid w:val="003116E1"/>
    <w:rsid w:val="00382A9E"/>
    <w:rsid w:val="0039252E"/>
    <w:rsid w:val="003D598E"/>
    <w:rsid w:val="00433B06"/>
    <w:rsid w:val="00471DE2"/>
    <w:rsid w:val="00473594"/>
    <w:rsid w:val="00486FB3"/>
    <w:rsid w:val="00496EA3"/>
    <w:rsid w:val="004D5CF4"/>
    <w:rsid w:val="00504F18"/>
    <w:rsid w:val="0053318B"/>
    <w:rsid w:val="00554A7A"/>
    <w:rsid w:val="005855B3"/>
    <w:rsid w:val="005C2CC2"/>
    <w:rsid w:val="005C3CCC"/>
    <w:rsid w:val="005C5515"/>
    <w:rsid w:val="00635FB9"/>
    <w:rsid w:val="00637588"/>
    <w:rsid w:val="00656879"/>
    <w:rsid w:val="0067283C"/>
    <w:rsid w:val="006B1493"/>
    <w:rsid w:val="006E2410"/>
    <w:rsid w:val="00705A88"/>
    <w:rsid w:val="00724B57"/>
    <w:rsid w:val="00733D42"/>
    <w:rsid w:val="00812C9B"/>
    <w:rsid w:val="00821BA4"/>
    <w:rsid w:val="00866FA6"/>
    <w:rsid w:val="008A6843"/>
    <w:rsid w:val="008B3FD5"/>
    <w:rsid w:val="008E7D37"/>
    <w:rsid w:val="008F6C42"/>
    <w:rsid w:val="00920117"/>
    <w:rsid w:val="0094752E"/>
    <w:rsid w:val="00967FE7"/>
    <w:rsid w:val="00987C5A"/>
    <w:rsid w:val="0099602C"/>
    <w:rsid w:val="00A16096"/>
    <w:rsid w:val="00A520F8"/>
    <w:rsid w:val="00A722C1"/>
    <w:rsid w:val="00A73711"/>
    <w:rsid w:val="00AD6EE7"/>
    <w:rsid w:val="00AF6C5C"/>
    <w:rsid w:val="00B27AA1"/>
    <w:rsid w:val="00BD1D26"/>
    <w:rsid w:val="00C46328"/>
    <w:rsid w:val="00C715BC"/>
    <w:rsid w:val="00CC520C"/>
    <w:rsid w:val="00D14FB2"/>
    <w:rsid w:val="00D452DE"/>
    <w:rsid w:val="00D50A1B"/>
    <w:rsid w:val="00D60F01"/>
    <w:rsid w:val="00D70A49"/>
    <w:rsid w:val="00D97D03"/>
    <w:rsid w:val="00DF3793"/>
    <w:rsid w:val="00E00552"/>
    <w:rsid w:val="00E052A3"/>
    <w:rsid w:val="00E10C79"/>
    <w:rsid w:val="00E1384F"/>
    <w:rsid w:val="00E301A1"/>
    <w:rsid w:val="00E444D8"/>
    <w:rsid w:val="00E74293"/>
    <w:rsid w:val="00EA2C88"/>
    <w:rsid w:val="00EC363F"/>
    <w:rsid w:val="00EE1B8E"/>
    <w:rsid w:val="00F74448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7043A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8B27FD-96DE-4C6D-BA7E-FE13BF4D4677}"/>
</file>

<file path=customXml/itemProps2.xml><?xml version="1.0" encoding="utf-8"?>
<ds:datastoreItem xmlns:ds="http://schemas.openxmlformats.org/officeDocument/2006/customXml" ds:itemID="{32595AC4-FD34-4926-8FBF-57CCADF2B36C}"/>
</file>

<file path=customXml/itemProps3.xml><?xml version="1.0" encoding="utf-8"?>
<ds:datastoreItem xmlns:ds="http://schemas.openxmlformats.org/officeDocument/2006/customXml" ds:itemID="{7C5DE8C1-0CC8-4B0D-830C-E067ECE204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3</cp:revision>
  <dcterms:created xsi:type="dcterms:W3CDTF">2018-08-23T21:29:00Z</dcterms:created>
  <dcterms:modified xsi:type="dcterms:W3CDTF">2018-08-23T21:30:00Z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3" name="PublishingRollupImage">
    <vt:lpwstr/>
  </property>
  <property fmtid="{D5CDD505-2E9C-101B-9397-08002B2CF9AE}" pid="4" name="PublishingContactEmail">
    <vt:lpwstr/>
  </property>
  <property fmtid="{D5CDD505-2E9C-101B-9397-08002B2CF9AE}" pid="5" name="PublishingContactName">
    <vt:lpwstr/>
  </property>
  <property fmtid="{D5CDD505-2E9C-101B-9397-08002B2CF9AE}" pid="6" name="PublishingPageLayout">
    <vt:lpwstr/>
  </property>
  <property fmtid="{D5CDD505-2E9C-101B-9397-08002B2CF9AE}" pid="7" name="Comments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  <property fmtid="{D5CDD505-2E9C-101B-9397-08002B2CF9AE}" pid="15" name="ComplianceAssetId">
    <vt:lpwstr/>
  </property>
</Properties>
</file>