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A261E7"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4814CFA0" w:rsidR="00554A7A" w:rsidRDefault="001B4A23" w:rsidP="00C05E48">
      <w:pPr>
        <w:widowControl/>
        <w:spacing w:line="480" w:lineRule="auto"/>
      </w:pPr>
      <w:r>
        <w:tab/>
      </w:r>
      <w:r w:rsidR="00A261E7" w:rsidRPr="00A261E7">
        <w:t>A separate crime is charged in each count of the indictment. Each count, and the evidence pertaining to it, should be considered separately. The fact that you may find the defendant guilty or not guilty as to one of the crimes charged should not control your verdict as to any other.</w:t>
      </w:r>
    </w:p>
    <w:p w14:paraId="616E1546" w14:textId="57330AB3" w:rsidR="00A261E7" w:rsidRDefault="00A261E7" w:rsidP="00C05E48">
      <w:pPr>
        <w:widowControl/>
        <w:spacing w:line="480" w:lineRule="auto"/>
      </w:pPr>
    </w:p>
    <w:p w14:paraId="5C2E60EC" w14:textId="77777777" w:rsidR="00A261E7" w:rsidRDefault="00A261E7" w:rsidP="00C05E48">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143D4"/>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261E7"/>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FF1FD-683D-4E6D-9E1F-58BDFFD6411B}"/>
</file>

<file path=customXml/itemProps2.xml><?xml version="1.0" encoding="utf-8"?>
<ds:datastoreItem xmlns:ds="http://schemas.openxmlformats.org/officeDocument/2006/customXml" ds:itemID="{180FE2C2-9409-4567-8352-5D7FAC04D596}"/>
</file>

<file path=customXml/itemProps3.xml><?xml version="1.0" encoding="utf-8"?>
<ds:datastoreItem xmlns:ds="http://schemas.openxmlformats.org/officeDocument/2006/customXml" ds:itemID="{7B646339-35BD-436C-88C6-F52B162A0F16}"/>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2018-07-10T21:22:00Z</dcterms:created>
  <dcterms:modified xsi:type="dcterms:W3CDTF">2018-07-10T21:22:00Z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14800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