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1E115B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3A74D66B" w:rsidR="00554A7A" w:rsidRDefault="001B4A23" w:rsidP="00C05E48">
      <w:pPr>
        <w:widowControl/>
        <w:spacing w:line="480" w:lineRule="auto"/>
      </w:pPr>
      <w:r>
        <w:tab/>
      </w:r>
      <w:r w:rsidR="001E115B" w:rsidRPr="001E115B">
        <w:t>The defendant(s) [is] [are] not on trial for any act or any conduct not specifically charged in the indictment.</w:t>
      </w:r>
    </w:p>
    <w:p w14:paraId="2F52ACA0" w14:textId="11B5433B" w:rsidR="001E115B" w:rsidRDefault="001E115B" w:rsidP="00C05E48">
      <w:pPr>
        <w:widowControl/>
        <w:spacing w:line="480" w:lineRule="auto"/>
      </w:pPr>
    </w:p>
    <w:p w14:paraId="71E0DE63" w14:textId="77777777" w:rsidR="001E115B" w:rsidRDefault="001E115B" w:rsidP="00C05E48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1E115B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21E2C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F9176-9998-4049-90F8-FD7A709AA250}"/>
</file>

<file path=customXml/itemProps2.xml><?xml version="1.0" encoding="utf-8"?>
<ds:datastoreItem xmlns:ds="http://schemas.openxmlformats.org/officeDocument/2006/customXml" ds:itemID="{E51DB711-8D5E-41EF-85F5-74FDBE7147F0}"/>
</file>

<file path=customXml/itemProps3.xml><?xml version="1.0" encoding="utf-8"?>
<ds:datastoreItem xmlns:ds="http://schemas.openxmlformats.org/officeDocument/2006/customXml" ds:itemID="{2D78AAC7-7F92-47AC-A00F-3AFE17926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2018-07-10T21:15:00Z</dcterms:created>
  <dcterms:modified xsi:type="dcterms:W3CDTF">2018-07-10T21:15:00Z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14600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