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1EEB" w14:textId="7122211F" w:rsidR="003C21A3" w:rsidRDefault="00D57D33" w:rsidP="00D57D33">
      <w:pPr>
        <w:jc w:val="center"/>
      </w:pPr>
      <w:r>
        <w:t xml:space="preserve">IN THE CIRCUIT COURT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WEST VIRGINIA</w:t>
      </w:r>
    </w:p>
    <w:p w14:paraId="455D92CE" w14:textId="31D5BC15" w:rsidR="00D57D33" w:rsidRDefault="00D57D33" w:rsidP="00D57D33">
      <w:pPr>
        <w:jc w:val="center"/>
      </w:pPr>
    </w:p>
    <w:p w14:paraId="6F9D43E6" w14:textId="348FE561" w:rsidR="00D57D33" w:rsidRDefault="00D57D33" w:rsidP="00D57D33">
      <w:pPr>
        <w:rPr>
          <w:b w:val="0"/>
        </w:rPr>
      </w:pPr>
      <w:r>
        <w:rPr>
          <w:b w:val="0"/>
        </w:rPr>
        <w:t>STATE OF WEST VIRGINIA,</w:t>
      </w:r>
    </w:p>
    <w:p w14:paraId="435EFD4C" w14:textId="51FE938C" w:rsidR="00D57D33" w:rsidRPr="00D57D33" w:rsidRDefault="00D57D33" w:rsidP="00D57D33">
      <w:pPr>
        <w:rPr>
          <w:b w:val="0"/>
        </w:rPr>
      </w:pPr>
      <w:r>
        <w:rPr>
          <w:b w:val="0"/>
        </w:rPr>
        <w:t>v.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CASE NO.: 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7FF192CE" w14:textId="7199E297" w:rsidR="00D57D33" w:rsidRDefault="00D57D33" w:rsidP="00D57D33">
      <w:pPr>
        <w:rPr>
          <w:b w:val="0"/>
        </w:rPr>
      </w:pPr>
    </w:p>
    <w:p w14:paraId="3796C181" w14:textId="05777CF4" w:rsidR="00D57D33" w:rsidRPr="00D57D33" w:rsidRDefault="00D57D33" w:rsidP="00D57D33">
      <w:pPr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,</w:t>
      </w:r>
    </w:p>
    <w:p w14:paraId="55B14CE6" w14:textId="2E6F3F5F" w:rsidR="00D57D33" w:rsidRDefault="00D57D33" w:rsidP="00D57D3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Defendant.</w:t>
      </w:r>
    </w:p>
    <w:p w14:paraId="5F21982E" w14:textId="26D809A9" w:rsidR="00D57D33" w:rsidRDefault="00D57D33" w:rsidP="00D57D33">
      <w:pPr>
        <w:rPr>
          <w:b w:val="0"/>
        </w:rPr>
      </w:pPr>
    </w:p>
    <w:p w14:paraId="48F74FEB" w14:textId="13587F62" w:rsidR="00D57D33" w:rsidRPr="00D57D33" w:rsidRDefault="00D57D33" w:rsidP="00D57D33">
      <w:pPr>
        <w:jc w:val="center"/>
        <w:rPr>
          <w:u w:val="single"/>
        </w:rPr>
      </w:pPr>
      <w:r w:rsidRPr="00D57D33">
        <w:rPr>
          <w:u w:val="single"/>
        </w:rPr>
        <w:t>DEFENDANT’S OBJECTION TO PRESENTENCE REPORT</w:t>
      </w:r>
    </w:p>
    <w:p w14:paraId="2E029FA4" w14:textId="77777777" w:rsidR="00CC6716" w:rsidRDefault="00CC6716" w:rsidP="00D57D33">
      <w:pPr>
        <w:spacing w:line="480" w:lineRule="auto"/>
        <w:contextualSpacing/>
        <w:rPr>
          <w:b w:val="0"/>
        </w:rPr>
      </w:pPr>
    </w:p>
    <w:p w14:paraId="4174E105" w14:textId="302AE554" w:rsidR="00D57D33" w:rsidRDefault="00D57D33" w:rsidP="00D57D33">
      <w:pPr>
        <w:spacing w:line="480" w:lineRule="auto"/>
        <w:contextualSpacing/>
        <w:rPr>
          <w:b w:val="0"/>
        </w:rPr>
      </w:pPr>
      <w:r>
        <w:rPr>
          <w:b w:val="0"/>
        </w:rPr>
        <w:tab/>
        <w:t>Pursuant to Rule 32(b)(6)(B</w:t>
      </w:r>
      <w:r w:rsidR="000123FC">
        <w:rPr>
          <w:b w:val="0"/>
        </w:rPr>
        <w:t>)</w:t>
      </w:r>
      <w:r w:rsidR="00A44B1A">
        <w:rPr>
          <w:b w:val="0"/>
        </w:rPr>
        <w:t xml:space="preserve"> of the West Virginia Rules of Criminal Procedure, W. Va. R. Cr. P. 32(b)(6)(B), the defendant </w:t>
      </w:r>
      <w:r w:rsidR="00A44B1A">
        <w:rPr>
          <w:b w:val="0"/>
          <w:u w:val="single"/>
        </w:rPr>
        <w:tab/>
      </w:r>
      <w:r w:rsidR="00A44B1A">
        <w:rPr>
          <w:b w:val="0"/>
          <w:u w:val="single"/>
        </w:rPr>
        <w:tab/>
      </w:r>
      <w:r w:rsidR="00A44B1A">
        <w:rPr>
          <w:b w:val="0"/>
          <w:u w:val="single"/>
        </w:rPr>
        <w:tab/>
      </w:r>
      <w:r w:rsidR="00A44B1A">
        <w:rPr>
          <w:b w:val="0"/>
          <w:u w:val="single"/>
        </w:rPr>
        <w:tab/>
      </w:r>
      <w:r w:rsidR="00A44B1A">
        <w:rPr>
          <w:b w:val="0"/>
        </w:rPr>
        <w:t xml:space="preserve"> objects to the presentence report in this matter for the reason that it omits an ACES assessment.  The Court is asked to sustain the objection and include an ACES assessment</w:t>
      </w:r>
      <w:r w:rsidR="003A1945">
        <w:rPr>
          <w:b w:val="0"/>
        </w:rPr>
        <w:t xml:space="preserve"> in the presentence report</w:t>
      </w:r>
      <w:r w:rsidR="00A44B1A">
        <w:rPr>
          <w:b w:val="0"/>
        </w:rPr>
        <w:t xml:space="preserve"> for the following reasons:</w:t>
      </w:r>
    </w:p>
    <w:p w14:paraId="0B3ED722" w14:textId="789CBA98" w:rsidR="00890D72" w:rsidRPr="002455BD" w:rsidRDefault="00A44B1A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</w:r>
      <w:r w:rsidR="00890D72" w:rsidRPr="002455BD">
        <w:rPr>
          <w:b w:val="0"/>
        </w:rPr>
        <w:t>Rule 32(b)(4)(A) of the West Virginia Rules of Criminal Procedure, W. Va. R. Cr. P. 32(b)(4)(A)</w:t>
      </w:r>
      <w:r w:rsidR="00C66702">
        <w:rPr>
          <w:b w:val="0"/>
        </w:rPr>
        <w:t>,</w:t>
      </w:r>
      <w:r w:rsidR="00890D72" w:rsidRPr="002455BD">
        <w:rPr>
          <w:b w:val="0"/>
        </w:rPr>
        <w:t xml:space="preserve"> provides that “the presentence report must contain:  information about the defendant’s </w:t>
      </w:r>
      <w:r w:rsidR="00890D72" w:rsidRPr="002455BD">
        <w:rPr>
          <w:b w:val="0"/>
          <w:i/>
        </w:rPr>
        <w:t xml:space="preserve">history </w:t>
      </w:r>
      <w:r w:rsidR="00890D72" w:rsidRPr="002455BD">
        <w:rPr>
          <w:b w:val="0"/>
        </w:rPr>
        <w:t xml:space="preserve">and characteristics, including information concerning the defendant’s </w:t>
      </w:r>
      <w:r w:rsidR="00890D72" w:rsidRPr="002455BD">
        <w:rPr>
          <w:b w:val="0"/>
          <w:i/>
        </w:rPr>
        <w:t>family background</w:t>
      </w:r>
      <w:r w:rsidR="00890D72" w:rsidRPr="002455BD">
        <w:rPr>
          <w:b w:val="0"/>
        </w:rPr>
        <w:t xml:space="preserve">, … mental and physical condition, … and </w:t>
      </w:r>
      <w:r w:rsidR="00890D72" w:rsidRPr="002455BD">
        <w:rPr>
          <w:b w:val="0"/>
          <w:i/>
        </w:rPr>
        <w:t xml:space="preserve">any circumstances that, because they affect the defendant’s behavior, </w:t>
      </w:r>
      <w:r w:rsidR="00890D72" w:rsidRPr="002455BD">
        <w:rPr>
          <w:b w:val="0"/>
        </w:rPr>
        <w:t>may be helpful in imposing sentence….” [emphasis added].</w:t>
      </w:r>
    </w:p>
    <w:p w14:paraId="61EDD303" w14:textId="4AEB3B20" w:rsidR="00A44B1A" w:rsidRDefault="00890D7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The ACES assessment, based upon a defendant’s </w:t>
      </w:r>
      <w:r w:rsidRPr="002455BD">
        <w:rPr>
          <w:b w:val="0"/>
          <w:i/>
        </w:rPr>
        <w:t>history</w:t>
      </w:r>
      <w:r w:rsidR="002455BD">
        <w:rPr>
          <w:b w:val="0"/>
          <w:i/>
        </w:rPr>
        <w:t xml:space="preserve"> </w:t>
      </w:r>
      <w:r w:rsidR="002455BD">
        <w:rPr>
          <w:b w:val="0"/>
        </w:rPr>
        <w:t>before the age of 18 years</w:t>
      </w:r>
      <w:r w:rsidRPr="002455BD">
        <w:rPr>
          <w:b w:val="0"/>
        </w:rPr>
        <w:t xml:space="preserve">, provides a tool to understand a defendant’s </w:t>
      </w:r>
      <w:r w:rsidRPr="002455BD">
        <w:rPr>
          <w:b w:val="0"/>
          <w:i/>
        </w:rPr>
        <w:t>behavior</w:t>
      </w:r>
      <w:r w:rsidR="002455BD">
        <w:rPr>
          <w:b w:val="0"/>
          <w:i/>
        </w:rPr>
        <w:t xml:space="preserve"> </w:t>
      </w:r>
      <w:r w:rsidR="002455BD">
        <w:rPr>
          <w:b w:val="0"/>
        </w:rPr>
        <w:t>as an adult</w:t>
      </w:r>
      <w:r w:rsidRPr="002455BD">
        <w:rPr>
          <w:b w:val="0"/>
        </w:rPr>
        <w:t>, providing insight into the potential need for treatment rather than</w:t>
      </w:r>
      <w:r w:rsidR="00750ABA" w:rsidRPr="002455BD">
        <w:rPr>
          <w:b w:val="0"/>
        </w:rPr>
        <w:t xml:space="preserve">, or in combination with, </w:t>
      </w:r>
      <w:r w:rsidRPr="002455BD">
        <w:rPr>
          <w:b w:val="0"/>
        </w:rPr>
        <w:t>punishment</w:t>
      </w:r>
      <w:r w:rsidR="00673D1B">
        <w:rPr>
          <w:b w:val="0"/>
        </w:rPr>
        <w:t>.</w:t>
      </w:r>
    </w:p>
    <w:p w14:paraId="734E5A8F" w14:textId="1F672315" w:rsidR="008D0B7C" w:rsidRPr="002455BD" w:rsidRDefault="008D0B7C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>
        <w:rPr>
          <w:b w:val="0"/>
        </w:rPr>
        <w:lastRenderedPageBreak/>
        <w:t xml:space="preserve"> </w:t>
      </w:r>
      <w:r>
        <w:rPr>
          <w:b w:val="0"/>
        </w:rPr>
        <w:tab/>
        <w:t xml:space="preserve">Specifically, the ACES assessment </w:t>
      </w:r>
      <w:r w:rsidR="0093203C">
        <w:rPr>
          <w:b w:val="0"/>
        </w:rPr>
        <w:t xml:space="preserve">provides a measure of </w:t>
      </w:r>
      <w:r>
        <w:rPr>
          <w:b w:val="0"/>
        </w:rPr>
        <w:t xml:space="preserve">the trauma that occurred in a child’s life through the identification of, and </w:t>
      </w:r>
      <w:r w:rsidR="00673D1B">
        <w:rPr>
          <w:b w:val="0"/>
        </w:rPr>
        <w:t>accumulation of, adverse childhood experiences.</w:t>
      </w:r>
    </w:p>
    <w:p w14:paraId="638DE1C3" w14:textId="3178D2E5" w:rsidR="00750ABA" w:rsidRPr="002455BD" w:rsidRDefault="00750ABA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</w:r>
      <w:r w:rsidR="00673D1B">
        <w:rPr>
          <w:b w:val="0"/>
        </w:rPr>
        <w:t xml:space="preserve">The ACES assessment was built upon </w:t>
      </w:r>
      <w:r w:rsidRPr="002455BD">
        <w:rPr>
          <w:b w:val="0"/>
        </w:rPr>
        <w:t>“one of the largest investigations of childhood abuse and neglect and later-life health and well-being</w:t>
      </w:r>
      <w:r w:rsidR="00673D1B">
        <w:rPr>
          <w:b w:val="0"/>
        </w:rPr>
        <w:t xml:space="preserve">” conducted by a partnership between the </w:t>
      </w:r>
      <w:r w:rsidR="00673D1B" w:rsidRPr="002455BD">
        <w:rPr>
          <w:b w:val="0"/>
        </w:rPr>
        <w:t>Center for Disease Control (“CDC”) and Kaiser</w:t>
      </w:r>
      <w:r w:rsidR="00673D1B">
        <w:rPr>
          <w:b w:val="0"/>
        </w:rPr>
        <w:t>-</w:t>
      </w:r>
      <w:r w:rsidR="00673D1B" w:rsidRPr="002455BD">
        <w:rPr>
          <w:b w:val="0"/>
        </w:rPr>
        <w:t>Permanente</w:t>
      </w:r>
      <w:r w:rsidR="00673D1B">
        <w:rPr>
          <w:b w:val="0"/>
        </w:rPr>
        <w:t>.</w:t>
      </w:r>
      <w:r w:rsidRPr="002455BD">
        <w:rPr>
          <w:b w:val="0"/>
        </w:rPr>
        <w:t xml:space="preserve">  </w:t>
      </w:r>
      <w:r w:rsidRPr="002455BD">
        <w:rPr>
          <w:b w:val="0"/>
          <w:i/>
        </w:rPr>
        <w:t xml:space="preserve">About the CDC-Kaiser ACE Study, </w:t>
      </w:r>
      <w:r w:rsidRPr="002455BD">
        <w:rPr>
          <w:b w:val="0"/>
        </w:rPr>
        <w:t xml:space="preserve">Centers for Disease Control and Prevention, </w:t>
      </w:r>
      <w:hyperlink r:id="rId5" w:history="1">
        <w:r w:rsidR="00673D1B" w:rsidRPr="0015052F">
          <w:rPr>
            <w:rStyle w:val="Hyperlink"/>
            <w:b w:val="0"/>
          </w:rPr>
          <w:t>https://www.cdc.gov/violenceprevention/acestudy/about.html</w:t>
        </w:r>
      </w:hyperlink>
      <w:r w:rsidRPr="002455BD">
        <w:rPr>
          <w:b w:val="0"/>
        </w:rPr>
        <w:t xml:space="preserve">).  </w:t>
      </w:r>
    </w:p>
    <w:p w14:paraId="39D332C2" w14:textId="52B99D37" w:rsidR="00750ABA" w:rsidRPr="002455BD" w:rsidRDefault="00750ABA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  <w:i/>
        </w:rPr>
      </w:pPr>
      <w:r w:rsidRPr="002455BD">
        <w:rPr>
          <w:b w:val="0"/>
        </w:rPr>
        <w:tab/>
        <w:t xml:space="preserve">The “Adverse Childhood Experiences Study” (“ACES”) involved over 17,000 participants who provided “information on adverse childhood experiences – related to abuse (emotional, physical, and sexual), neglect (emotional and physical), and household dysfunction (a battered mother, parental abandonment, or the experience of having had a substance-abusing, mentally ill, or incarcerated member in the household).”  </w:t>
      </w:r>
      <w:r w:rsidR="00673D1B">
        <w:rPr>
          <w:b w:val="0"/>
        </w:rPr>
        <w:t xml:space="preserve">Reavis, et al., </w:t>
      </w:r>
      <w:r w:rsidR="00673D1B">
        <w:rPr>
          <w:b w:val="0"/>
          <w:i/>
        </w:rPr>
        <w:t xml:space="preserve">Adverse Childhood Experiences and Adult Criminality:  How Long Must We Live Before We Possess Our Own Lives? </w:t>
      </w:r>
      <w:r w:rsidR="00673D1B">
        <w:rPr>
          <w:b w:val="0"/>
        </w:rPr>
        <w:t>Perm. J. 2013 Spring, 17(2): 44-48.</w:t>
      </w:r>
    </w:p>
    <w:p w14:paraId="33F76BAD" w14:textId="1DC1C63D" w:rsidR="00750ABA" w:rsidRPr="002455BD" w:rsidRDefault="00750ABA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  <w:i/>
        </w:rPr>
        <w:tab/>
      </w:r>
      <w:r w:rsidRPr="002455BD">
        <w:rPr>
          <w:b w:val="0"/>
        </w:rPr>
        <w:t>The</w:t>
      </w:r>
      <w:r w:rsidR="0093203C">
        <w:rPr>
          <w:b w:val="0"/>
        </w:rPr>
        <w:t xml:space="preserve"> </w:t>
      </w:r>
      <w:r w:rsidRPr="002455BD">
        <w:rPr>
          <w:b w:val="0"/>
        </w:rPr>
        <w:t>study</w:t>
      </w:r>
      <w:r w:rsidR="0093203C">
        <w:rPr>
          <w:b w:val="0"/>
        </w:rPr>
        <w:t xml:space="preserve"> </w:t>
      </w:r>
      <w:r w:rsidR="00816FEE" w:rsidRPr="002455BD">
        <w:rPr>
          <w:b w:val="0"/>
        </w:rPr>
        <w:t xml:space="preserve">established </w:t>
      </w:r>
      <w:r w:rsidR="0093203C">
        <w:rPr>
          <w:b w:val="0"/>
        </w:rPr>
        <w:t xml:space="preserve">a </w:t>
      </w:r>
      <w:r w:rsidRPr="002455BD">
        <w:rPr>
          <w:b w:val="0"/>
        </w:rPr>
        <w:t>correlation between the number of adverse childhood experiences and the development of depression, suicide, alcoholism, drug abuse, obesity, heart disease, cancer, stroke, diabetes and other health risks and diseases.</w:t>
      </w:r>
      <w:r w:rsidR="00816FEE" w:rsidRPr="002455BD">
        <w:rPr>
          <w:b w:val="0"/>
        </w:rPr>
        <w:t xml:space="preserve"> </w:t>
      </w:r>
      <w:r w:rsidR="00816FEE" w:rsidRPr="002455BD">
        <w:rPr>
          <w:b w:val="0"/>
          <w:i/>
        </w:rPr>
        <w:t>Id.</w:t>
      </w:r>
    </w:p>
    <w:p w14:paraId="05972FFB" w14:textId="2DDED140" w:rsidR="00816FEE" w:rsidRPr="002455BD" w:rsidRDefault="00816FEE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Compared to persons with no adverse childhood experiences, “[s]ubjects with 4 or more negative childhood events were also nearly 5 times more likely to have suffered a depressive episode in the preceding 12 months, twice as likely to smoke cigarettes, more than 7 times as likely to consider themselves an ‘alcoholic,’ and 12 times as likely to have attempted suicide.”  </w:t>
      </w:r>
      <w:r w:rsidRPr="002455BD">
        <w:rPr>
          <w:b w:val="0"/>
          <w:i/>
        </w:rPr>
        <w:t>Id.</w:t>
      </w:r>
    </w:p>
    <w:p w14:paraId="10C7531B" w14:textId="1A1C4EF4" w:rsidR="00816FEE" w:rsidRDefault="00816FEE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lastRenderedPageBreak/>
        <w:tab/>
        <w:t>Disturbingly, the subjects with 6 adverse childhood experiences were “46 times more likely to report intravenous drug use.”</w:t>
      </w:r>
      <w:r w:rsidR="00673D1B">
        <w:rPr>
          <w:b w:val="0"/>
        </w:rPr>
        <w:t xml:space="preserve">  </w:t>
      </w:r>
      <w:r w:rsidR="00673D1B">
        <w:rPr>
          <w:b w:val="0"/>
          <w:i/>
        </w:rPr>
        <w:t>Id.</w:t>
      </w:r>
    </w:p>
    <w:p w14:paraId="53ED9876" w14:textId="2531DDC6" w:rsidR="00FD280E" w:rsidRDefault="00FD280E" w:rsidP="00FD280E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As summarized in the </w:t>
      </w:r>
      <w:r>
        <w:rPr>
          <w:b w:val="0"/>
          <w:i/>
        </w:rPr>
        <w:t xml:space="preserve">Findings on Adverse Childhood Experiences (ACEs) in West Virginia </w:t>
      </w:r>
      <w:r>
        <w:rPr>
          <w:b w:val="0"/>
        </w:rPr>
        <w:t>prepared by the</w:t>
      </w:r>
      <w:r>
        <w:rPr>
          <w:b w:val="0"/>
          <w:i/>
        </w:rPr>
        <w:t xml:space="preserve"> </w:t>
      </w:r>
      <w:r>
        <w:rPr>
          <w:b w:val="0"/>
        </w:rPr>
        <w:t>Adverse Childhood Experiences Coalition of West Virginia in January, 2018:</w:t>
      </w:r>
    </w:p>
    <w:p w14:paraId="745E21F0" w14:textId="75196C56" w:rsidR="00FD280E" w:rsidRDefault="00FD280E" w:rsidP="00673D1B">
      <w:pPr>
        <w:pStyle w:val="ListParagraph"/>
        <w:spacing w:line="240" w:lineRule="auto"/>
        <w:ind w:left="2160" w:right="1440"/>
        <w:rPr>
          <w:b w:val="0"/>
        </w:rPr>
      </w:pPr>
      <w:r>
        <w:rPr>
          <w:b w:val="0"/>
        </w:rPr>
        <w:t>ACE scores have also been shown to correlate with poor academic performance, dropping out of high school, self-mutilation, persistent post-traumatic stress disorder, drug and alcohol abuse, increased risk for abuse in subsequent relationships, difficulty in forming meaningful and trusting relationships, cognitive deficits, depression, dissociative symptoms, and suicide.</w:t>
      </w:r>
    </w:p>
    <w:p w14:paraId="6B5E0B36" w14:textId="11E10D15" w:rsidR="00FD280E" w:rsidRDefault="00FD280E" w:rsidP="00FD280E">
      <w:pPr>
        <w:pStyle w:val="ListParagraph"/>
        <w:spacing w:line="240" w:lineRule="auto"/>
        <w:ind w:left="2160"/>
        <w:rPr>
          <w:b w:val="0"/>
        </w:rPr>
      </w:pPr>
    </w:p>
    <w:p w14:paraId="70CCA5B2" w14:textId="304F4C7F" w:rsidR="00DF4D4F" w:rsidRDefault="00FD280E" w:rsidP="00DF4D4F">
      <w:pPr>
        <w:pStyle w:val="ListParagraph"/>
        <w:spacing w:line="480" w:lineRule="auto"/>
        <w:ind w:left="0"/>
        <w:rPr>
          <w:b w:val="0"/>
        </w:rPr>
      </w:pPr>
      <w:r>
        <w:rPr>
          <w:b w:val="0"/>
          <w:i/>
        </w:rPr>
        <w:t xml:space="preserve">Id. </w:t>
      </w:r>
      <w:r>
        <w:rPr>
          <w:b w:val="0"/>
        </w:rPr>
        <w:t>citing Felitti, V.J.</w:t>
      </w:r>
      <w:r w:rsidR="00DF4D4F">
        <w:rPr>
          <w:b w:val="0"/>
        </w:rPr>
        <w:t>;</w:t>
      </w:r>
      <w:r>
        <w:rPr>
          <w:b w:val="0"/>
        </w:rPr>
        <w:t xml:space="preserve"> </w:t>
      </w:r>
      <w:r w:rsidR="00DF4D4F">
        <w:rPr>
          <w:b w:val="0"/>
        </w:rPr>
        <w:t xml:space="preserve">Anda, R.F.; Nordenberg, D.; Williamson, D.; Spitz, A.M.; Edwards, V.; Koss, M.; Marks, J.S. (1998), </w:t>
      </w:r>
      <w:r w:rsidR="00DF4D4F">
        <w:rPr>
          <w:b w:val="0"/>
          <w:i/>
        </w:rPr>
        <w:t xml:space="preserve">Relationship of childhood abuse and household function to many of the leading causes of death in adults:  The Adverse Childhood Experience (ACE) Study, </w:t>
      </w:r>
      <w:r w:rsidR="00DF4D4F">
        <w:rPr>
          <w:b w:val="0"/>
        </w:rPr>
        <w:t xml:space="preserve">American Journal of Preventive Medicine 14(4). </w:t>
      </w:r>
    </w:p>
    <w:p w14:paraId="6D367FFF" w14:textId="03C6A5B5" w:rsidR="00DF4D4F" w:rsidRPr="008D0B7C" w:rsidRDefault="00DF4D4F" w:rsidP="00DF4D4F">
      <w:pPr>
        <w:pStyle w:val="ListParagraph"/>
        <w:numPr>
          <w:ilvl w:val="0"/>
          <w:numId w:val="1"/>
        </w:numPr>
        <w:spacing w:line="480" w:lineRule="auto"/>
        <w:ind w:left="90" w:firstLine="27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The referenced findings of the Adverse Childhood Experiences Coalition of West Virginia </w:t>
      </w:r>
      <w:r w:rsidR="008D0B7C">
        <w:rPr>
          <w:b w:val="0"/>
        </w:rPr>
        <w:t>include</w:t>
      </w:r>
      <w:r>
        <w:rPr>
          <w:b w:val="0"/>
        </w:rPr>
        <w:t xml:space="preserve"> the statement that “there is strong evidence of the correlation between opioid addiction and traumatic experiences, particularly early childhood adversity.”  </w:t>
      </w:r>
      <w:r>
        <w:rPr>
          <w:b w:val="0"/>
          <w:i/>
        </w:rPr>
        <w:t xml:space="preserve">Id. </w:t>
      </w:r>
    </w:p>
    <w:p w14:paraId="76CFBF95" w14:textId="61C8A47E" w:rsidR="008D0B7C" w:rsidRPr="002455BD" w:rsidRDefault="008D0B7C" w:rsidP="00DF4D4F">
      <w:pPr>
        <w:pStyle w:val="ListParagraph"/>
        <w:numPr>
          <w:ilvl w:val="0"/>
          <w:numId w:val="1"/>
        </w:numPr>
        <w:spacing w:line="480" w:lineRule="auto"/>
        <w:ind w:left="90" w:firstLine="270"/>
        <w:rPr>
          <w:b w:val="0"/>
        </w:rPr>
      </w:pPr>
      <w:r>
        <w:rPr>
          <w:b w:val="0"/>
          <w:i/>
        </w:rPr>
        <w:t xml:space="preserve"> </w:t>
      </w:r>
      <w:r>
        <w:rPr>
          <w:b w:val="0"/>
          <w:i/>
        </w:rPr>
        <w:tab/>
      </w:r>
      <w:r>
        <w:rPr>
          <w:b w:val="0"/>
        </w:rPr>
        <w:t xml:space="preserve">Additional findings were that “individuals who reported 5 or more ACES were 3x more likely to misuse prescription pain medication and five times more likely to engage in injection drug use.”  </w:t>
      </w:r>
      <w:r>
        <w:rPr>
          <w:b w:val="0"/>
          <w:i/>
        </w:rPr>
        <w:t>Id.</w:t>
      </w:r>
    </w:p>
    <w:p w14:paraId="58920EF1" w14:textId="7D9951BC" w:rsidR="00816FEE" w:rsidRPr="002455BD" w:rsidRDefault="00816FEE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>Particularly relevant to the defendant</w:t>
      </w:r>
      <w:r w:rsidR="00673D1B">
        <w:rPr>
          <w:b w:val="0"/>
        </w:rPr>
        <w:t xml:space="preserve"> in this matter</w:t>
      </w:r>
      <w:r w:rsidRPr="002455BD">
        <w:rPr>
          <w:b w:val="0"/>
        </w:rPr>
        <w:t xml:space="preserve">, </w:t>
      </w:r>
      <w:r w:rsidR="00BD5F4D" w:rsidRPr="002455BD">
        <w:rPr>
          <w:b w:val="0"/>
        </w:rPr>
        <w:t xml:space="preserve">adverse childhood experiences </w:t>
      </w:r>
      <w:r w:rsidR="008214C2" w:rsidRPr="002455BD">
        <w:rPr>
          <w:b w:val="0"/>
        </w:rPr>
        <w:t xml:space="preserve">have been </w:t>
      </w:r>
      <w:r w:rsidR="00BD5F4D" w:rsidRPr="002455BD">
        <w:rPr>
          <w:b w:val="0"/>
        </w:rPr>
        <w:t xml:space="preserve">correlated with adverse adult criminal justice </w:t>
      </w:r>
      <w:r w:rsidR="008214C2" w:rsidRPr="002455BD">
        <w:rPr>
          <w:b w:val="0"/>
        </w:rPr>
        <w:t xml:space="preserve">experiences.  </w:t>
      </w:r>
    </w:p>
    <w:p w14:paraId="51594D19" w14:textId="18A40FD9" w:rsidR="008214C2" w:rsidRPr="002455BD" w:rsidRDefault="008214C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lastRenderedPageBreak/>
        <w:tab/>
        <w:t xml:space="preserve">One study found that men convicted of violent offenses were four times more likely than the average adult male to have 4 or more adverse childhood experiences.  </w:t>
      </w:r>
      <w:r w:rsidR="00673D1B">
        <w:rPr>
          <w:b w:val="0"/>
        </w:rPr>
        <w:t xml:space="preserve">Reavis, et al., </w:t>
      </w:r>
      <w:r w:rsidR="00673D1B">
        <w:rPr>
          <w:b w:val="0"/>
          <w:i/>
        </w:rPr>
        <w:t>supra.</w:t>
      </w:r>
    </w:p>
    <w:p w14:paraId="6DAA93FC" w14:textId="4976C513" w:rsidR="008214C2" w:rsidRPr="002455BD" w:rsidRDefault="008214C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  <w:i/>
        </w:rPr>
      </w:pPr>
      <w:r w:rsidRPr="002455BD">
        <w:rPr>
          <w:b w:val="0"/>
        </w:rPr>
        <w:tab/>
        <w:t xml:space="preserve">The overriding conclusion is that trauma, experienced early in life, “influences brain functioning,” effectively rewiring the brain.  </w:t>
      </w:r>
      <w:r w:rsidR="00673D1B">
        <w:rPr>
          <w:b w:val="0"/>
        </w:rPr>
        <w:t xml:space="preserve">Reavis, et al., </w:t>
      </w:r>
      <w:r w:rsidR="00673D1B">
        <w:rPr>
          <w:b w:val="0"/>
          <w:i/>
        </w:rPr>
        <w:t>supra.</w:t>
      </w:r>
    </w:p>
    <w:p w14:paraId="4D65F1DE" w14:textId="36317EEA" w:rsidR="008214C2" w:rsidRPr="002455BD" w:rsidRDefault="008214C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  <w:i/>
        </w:rPr>
        <w:tab/>
      </w:r>
      <w:r w:rsidRPr="002455BD">
        <w:rPr>
          <w:b w:val="0"/>
        </w:rPr>
        <w:t>Individuals whose brains have been rewired through adverse experiences require</w:t>
      </w:r>
      <w:r w:rsidR="00673D1B">
        <w:rPr>
          <w:b w:val="0"/>
        </w:rPr>
        <w:t xml:space="preserve"> neurological </w:t>
      </w:r>
      <w:r w:rsidRPr="002455BD">
        <w:rPr>
          <w:b w:val="0"/>
        </w:rPr>
        <w:t xml:space="preserve">treatment that will help to restore the brain to functioning that is not controlled by what happened </w:t>
      </w:r>
      <w:bookmarkStart w:id="0" w:name="_GoBack"/>
      <w:bookmarkEnd w:id="0"/>
      <w:r w:rsidRPr="002455BD">
        <w:rPr>
          <w:b w:val="0"/>
        </w:rPr>
        <w:t>in their past.</w:t>
      </w:r>
      <w:r w:rsidR="00673D1B">
        <w:rPr>
          <w:b w:val="0"/>
        </w:rPr>
        <w:t xml:space="preserve">  Reavis, et al., </w:t>
      </w:r>
      <w:r w:rsidR="00673D1B">
        <w:rPr>
          <w:b w:val="0"/>
          <w:i/>
        </w:rPr>
        <w:t>supra.</w:t>
      </w:r>
    </w:p>
    <w:p w14:paraId="5B6A769A" w14:textId="43258C97" w:rsidR="002455BD" w:rsidRDefault="008214C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An injustice results when the criminal justice system ignores the existence of these environmental factors and believes that </w:t>
      </w:r>
      <w:r w:rsidR="00CC6716" w:rsidRPr="002455BD">
        <w:rPr>
          <w:b w:val="0"/>
        </w:rPr>
        <w:t>behaviors that reflect a</w:t>
      </w:r>
      <w:r w:rsidRPr="002455BD">
        <w:rPr>
          <w:b w:val="0"/>
        </w:rPr>
        <w:t xml:space="preserve"> neurological issue</w:t>
      </w:r>
      <w:r w:rsidR="00673D1B">
        <w:rPr>
          <w:b w:val="0"/>
        </w:rPr>
        <w:t xml:space="preserve"> </w:t>
      </w:r>
      <w:r w:rsidRPr="002455BD">
        <w:rPr>
          <w:b w:val="0"/>
        </w:rPr>
        <w:t>can be modified by punishment</w:t>
      </w:r>
      <w:r w:rsidR="00CC6716" w:rsidRPr="002455BD">
        <w:rPr>
          <w:b w:val="0"/>
        </w:rPr>
        <w:t xml:space="preserve"> solely</w:t>
      </w:r>
      <w:r w:rsidRPr="002455BD">
        <w:rPr>
          <w:b w:val="0"/>
        </w:rPr>
        <w:t xml:space="preserve">.  </w:t>
      </w:r>
    </w:p>
    <w:p w14:paraId="5B2BE4B7" w14:textId="77777777" w:rsidR="002455BD" w:rsidRDefault="00816FEE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Defendant’s counsel has received training on the administration of the ACES assessment tool; specifically, </w:t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</w:rPr>
        <w:t>.</w:t>
      </w:r>
    </w:p>
    <w:p w14:paraId="63CD60F1" w14:textId="77777777" w:rsidR="002455BD" w:rsidRDefault="00816FEE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Defendant’s results were that defendant has </w:t>
      </w:r>
      <w:r w:rsidRPr="002455BD">
        <w:rPr>
          <w:b w:val="0"/>
          <w:u w:val="single"/>
        </w:rPr>
        <w:tab/>
      </w:r>
      <w:r w:rsidRPr="002455BD">
        <w:rPr>
          <w:b w:val="0"/>
          <w:u w:val="single"/>
        </w:rPr>
        <w:tab/>
      </w:r>
      <w:r w:rsidRPr="002455BD">
        <w:rPr>
          <w:b w:val="0"/>
        </w:rPr>
        <w:t xml:space="preserve"> adverse childhood experiences.</w:t>
      </w:r>
    </w:p>
    <w:p w14:paraId="503270F8" w14:textId="06F6140D" w:rsidR="008214C2" w:rsidRPr="002455BD" w:rsidRDefault="008214C2" w:rsidP="002455BD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b w:val="0"/>
        </w:rPr>
      </w:pPr>
      <w:r w:rsidRPr="002455BD">
        <w:rPr>
          <w:b w:val="0"/>
        </w:rPr>
        <w:tab/>
        <w:t xml:space="preserve">Based on these </w:t>
      </w:r>
      <w:r w:rsidR="00CC6716" w:rsidRPr="002455BD">
        <w:rPr>
          <w:b w:val="0"/>
        </w:rPr>
        <w:t xml:space="preserve">experiences, the defendant’s disposition requires a consideration of the underlying neurological issues that have contributed to the </w:t>
      </w:r>
      <w:r w:rsidR="0093203C">
        <w:rPr>
          <w:b w:val="0"/>
        </w:rPr>
        <w:t xml:space="preserve">offending </w:t>
      </w:r>
      <w:r w:rsidR="00CC6716" w:rsidRPr="002455BD">
        <w:rPr>
          <w:b w:val="0"/>
        </w:rPr>
        <w:t>behavior and mandates a disposition that incorporates treatment of these issues through therapy or otherwise.</w:t>
      </w:r>
    </w:p>
    <w:p w14:paraId="2D782347" w14:textId="69889BEE" w:rsidR="003A1945" w:rsidRDefault="00CC6716" w:rsidP="002455BD">
      <w:pPr>
        <w:spacing w:line="480" w:lineRule="auto"/>
        <w:contextualSpacing/>
        <w:rPr>
          <w:b w:val="0"/>
        </w:rPr>
      </w:pPr>
      <w:r>
        <w:rPr>
          <w:b w:val="0"/>
        </w:rPr>
        <w:tab/>
        <w:t>For these reasons, the defendant objects to the omission of the ACES assessment from the presentence report</w:t>
      </w:r>
      <w:r w:rsidR="00673D1B">
        <w:rPr>
          <w:b w:val="0"/>
        </w:rPr>
        <w:t xml:space="preserve"> because, consistently with the provisions of </w:t>
      </w:r>
      <w:r w:rsidR="00673D1B" w:rsidRPr="002455BD">
        <w:rPr>
          <w:b w:val="0"/>
        </w:rPr>
        <w:t>Rule 32(b)(4)(A)</w:t>
      </w:r>
      <w:r w:rsidR="00673D1B">
        <w:rPr>
          <w:b w:val="0"/>
        </w:rPr>
        <w:t xml:space="preserve">, the ACES assessment provides relevant and compelling information regarding the </w:t>
      </w:r>
      <w:r w:rsidR="00C357CE">
        <w:rPr>
          <w:b w:val="0"/>
        </w:rPr>
        <w:t>defendant’s history, family background,</w:t>
      </w:r>
      <w:r w:rsidR="0093203C">
        <w:rPr>
          <w:b w:val="0"/>
        </w:rPr>
        <w:t xml:space="preserve"> mental and physical condition,</w:t>
      </w:r>
      <w:r w:rsidR="00C357CE">
        <w:rPr>
          <w:b w:val="0"/>
        </w:rPr>
        <w:t xml:space="preserve"> and circumstances that contribute to the defendant’s behavior.</w:t>
      </w:r>
    </w:p>
    <w:p w14:paraId="72F2F948" w14:textId="4C0D18AB" w:rsidR="00CC6716" w:rsidRDefault="00673D1B" w:rsidP="002455BD">
      <w:pPr>
        <w:spacing w:line="480" w:lineRule="auto"/>
        <w:contextualSpacing/>
        <w:rPr>
          <w:b w:val="0"/>
        </w:rPr>
      </w:pPr>
      <w:r>
        <w:rPr>
          <w:b w:val="0"/>
        </w:rPr>
        <w:lastRenderedPageBreak/>
        <w:t xml:space="preserve"> </w:t>
      </w:r>
    </w:p>
    <w:p w14:paraId="064D67C3" w14:textId="2204D022" w:rsidR="00CC6716" w:rsidRDefault="00CC6716" w:rsidP="00D57D33">
      <w:pPr>
        <w:spacing w:line="480" w:lineRule="auto"/>
        <w:contextualSpacing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Respectfully submitted,</w:t>
      </w:r>
    </w:p>
    <w:p w14:paraId="2DB15A08" w14:textId="07D7A8CC" w:rsidR="00CC6716" w:rsidRDefault="00CC6716" w:rsidP="00D57D33">
      <w:pPr>
        <w:spacing w:line="480" w:lineRule="auto"/>
        <w:contextualSpacing/>
        <w:rPr>
          <w:b w:val="0"/>
        </w:rPr>
      </w:pPr>
    </w:p>
    <w:p w14:paraId="77733CF3" w14:textId="70B18D0D" w:rsidR="00CC6716" w:rsidRDefault="00CC6716" w:rsidP="00CC6716">
      <w:pPr>
        <w:spacing w:line="240" w:lineRule="auto"/>
        <w:contextualSpacing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67D2362" w14:textId="0C790BFD" w:rsidR="00CC6716" w:rsidRDefault="00CC6716" w:rsidP="00CC6716">
      <w:pPr>
        <w:spacing w:line="240" w:lineRule="auto"/>
        <w:contextualSpacing/>
        <w:rPr>
          <w:b w:val="0"/>
        </w:rPr>
      </w:pPr>
      <w:r>
        <w:rPr>
          <w:b w:val="0"/>
        </w:rPr>
        <w:tab/>
      </w:r>
    </w:p>
    <w:p w14:paraId="1ACDA647" w14:textId="6309AC1C" w:rsidR="00CC6716" w:rsidRDefault="00CC6716" w:rsidP="00CC6716">
      <w:pPr>
        <w:spacing w:line="240" w:lineRule="auto"/>
        <w:contextualSpacing/>
        <w:rPr>
          <w:b w:val="0"/>
        </w:rPr>
      </w:pPr>
      <w:r>
        <w:rPr>
          <w:b w:val="0"/>
        </w:rPr>
        <w:t>By counsel</w:t>
      </w:r>
    </w:p>
    <w:p w14:paraId="051C92A8" w14:textId="3432DA66" w:rsidR="00CC6716" w:rsidRDefault="00CC6716" w:rsidP="00CC6716">
      <w:pPr>
        <w:spacing w:line="240" w:lineRule="auto"/>
        <w:contextualSpacing/>
        <w:rPr>
          <w:b w:val="0"/>
        </w:rPr>
      </w:pPr>
    </w:p>
    <w:p w14:paraId="1DF14AB5" w14:textId="2D305679" w:rsidR="00CC6716" w:rsidRPr="00CC6716" w:rsidRDefault="00CC6716" w:rsidP="00CC6716">
      <w:pPr>
        <w:spacing w:line="240" w:lineRule="auto"/>
        <w:contextualSpacing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EC12118" w14:textId="77777777" w:rsidR="00816FEE" w:rsidRPr="00816FEE" w:rsidRDefault="00816FEE" w:rsidP="00D57D33">
      <w:pPr>
        <w:spacing w:line="480" w:lineRule="auto"/>
        <w:contextualSpacing/>
        <w:rPr>
          <w:b w:val="0"/>
        </w:rPr>
      </w:pPr>
    </w:p>
    <w:sectPr w:rsidR="00816FEE" w:rsidRPr="0081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B00"/>
    <w:multiLevelType w:val="hybridMultilevel"/>
    <w:tmpl w:val="988CD4C2"/>
    <w:lvl w:ilvl="0" w:tplc="CFB27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33"/>
    <w:rsid w:val="000123FC"/>
    <w:rsid w:val="001A2FB4"/>
    <w:rsid w:val="001B65F2"/>
    <w:rsid w:val="002455BD"/>
    <w:rsid w:val="003A1945"/>
    <w:rsid w:val="003C21A3"/>
    <w:rsid w:val="00673D1B"/>
    <w:rsid w:val="00750ABA"/>
    <w:rsid w:val="00816FEE"/>
    <w:rsid w:val="008214C2"/>
    <w:rsid w:val="00890D72"/>
    <w:rsid w:val="008D0B7C"/>
    <w:rsid w:val="0093203C"/>
    <w:rsid w:val="00A44B1A"/>
    <w:rsid w:val="00A6273A"/>
    <w:rsid w:val="00BA1571"/>
    <w:rsid w:val="00BD5F4D"/>
    <w:rsid w:val="00C357CE"/>
    <w:rsid w:val="00C66702"/>
    <w:rsid w:val="00CC6716"/>
    <w:rsid w:val="00D5675B"/>
    <w:rsid w:val="00D57D33"/>
    <w:rsid w:val="00DF4D4F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2C28"/>
  <w15:chartTrackingRefBased/>
  <w15:docId w15:val="{8E5725A6-A798-4DA1-A766-CACE7380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A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violenceprevention/acestudy/about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2CE3F-3C72-4E37-A9FC-6F622A7DFFED}"/>
</file>

<file path=customXml/itemProps2.xml><?xml version="1.0" encoding="utf-8"?>
<ds:datastoreItem xmlns:ds="http://schemas.openxmlformats.org/officeDocument/2006/customXml" ds:itemID="{AE6A1541-A8CF-4695-A218-BCC2EF515AAE}"/>
</file>

<file path=customXml/itemProps3.xml><?xml version="1.0" encoding="utf-8"?>
<ds:datastoreItem xmlns:ds="http://schemas.openxmlformats.org/officeDocument/2006/customXml" ds:itemID="{A2F958E5-D116-4E42-90EF-71C8A1DA1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Dana F</dc:creator>
  <cp:keywords/>
  <dc:description/>
  <cp:lastModifiedBy>Eddy, Dana F</cp:lastModifiedBy>
  <cp:revision>5</cp:revision>
  <cp:lastPrinted>2019-05-02T19:28:00Z</cp:lastPrinted>
  <dcterms:created xsi:type="dcterms:W3CDTF">2019-05-02T14:32:00Z</dcterms:created>
  <dcterms:modified xsi:type="dcterms:W3CDTF">2019-10-23T18:26:00Z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4400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